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AEEF3" w14:textId="77777777" w:rsidR="00AB3440" w:rsidRDefault="0016569C" w:rsidP="00E36560">
      <w:pPr>
        <w:tabs>
          <w:tab w:val="left" w:pos="1224"/>
        </w:tabs>
        <w:spacing w:line="276" w:lineRule="auto"/>
        <w:jc w:val="center"/>
        <w:rPr>
          <w:rFonts w:ascii="Times New Roman" w:hAnsi="Times New Roman" w:cs="Times New Roman"/>
          <w:b/>
          <w:sz w:val="28"/>
          <w:szCs w:val="28"/>
        </w:rPr>
      </w:pPr>
      <w:r w:rsidRPr="00AB3440">
        <w:rPr>
          <w:rFonts w:ascii="Times New Roman" w:hAnsi="Times New Roman" w:cs="Times New Roman"/>
          <w:b/>
          <w:sz w:val="40"/>
          <w:szCs w:val="40"/>
        </w:rPr>
        <w:t xml:space="preserve">NOKTA KIRTASİYE VE TEMİZLİK MALZEMELERİ GIDA SAN. VE TİC. LTD.ŞTİ. </w:t>
      </w:r>
    </w:p>
    <w:p w14:paraId="142FFD54" w14:textId="6C458D90" w:rsidR="002E6F7F" w:rsidRPr="00E36560" w:rsidRDefault="002E6F7F" w:rsidP="00AB3440">
      <w:pPr>
        <w:tabs>
          <w:tab w:val="left" w:pos="1224"/>
        </w:tabs>
        <w:spacing w:line="276" w:lineRule="auto"/>
        <w:jc w:val="center"/>
        <w:rPr>
          <w:rFonts w:ascii="Times New Roman" w:hAnsi="Times New Roman" w:cs="Times New Roman"/>
          <w:b/>
          <w:sz w:val="28"/>
          <w:szCs w:val="28"/>
        </w:rPr>
      </w:pPr>
      <w:r w:rsidRPr="00E36560">
        <w:rPr>
          <w:rFonts w:ascii="Times New Roman" w:hAnsi="Times New Roman" w:cs="Times New Roman"/>
          <w:b/>
          <w:sz w:val="28"/>
          <w:szCs w:val="28"/>
        </w:rPr>
        <w:t>TEDARİKÇİ</w:t>
      </w:r>
      <w:r w:rsidR="00AB3440">
        <w:rPr>
          <w:rFonts w:ascii="Times New Roman" w:hAnsi="Times New Roman" w:cs="Times New Roman"/>
          <w:b/>
          <w:sz w:val="28"/>
          <w:szCs w:val="28"/>
        </w:rPr>
        <w:t xml:space="preserve"> </w:t>
      </w:r>
      <w:r w:rsidRPr="00E36560">
        <w:rPr>
          <w:rFonts w:ascii="Times New Roman" w:hAnsi="Times New Roman" w:cs="Times New Roman"/>
          <w:b/>
          <w:sz w:val="28"/>
          <w:szCs w:val="28"/>
        </w:rPr>
        <w:t>AYDINLATMA ve GİZLİLİK TAAHHÜTNAMESİ</w:t>
      </w:r>
    </w:p>
    <w:p w14:paraId="101632FF" w14:textId="77777777" w:rsidR="002E6F7F" w:rsidRPr="00E36560" w:rsidRDefault="002E6F7F" w:rsidP="00E36560">
      <w:pPr>
        <w:tabs>
          <w:tab w:val="left" w:pos="1224"/>
        </w:tabs>
        <w:spacing w:line="276" w:lineRule="auto"/>
        <w:jc w:val="both"/>
        <w:rPr>
          <w:rFonts w:ascii="Times New Roman" w:hAnsi="Times New Roman" w:cs="Times New Roman"/>
        </w:rPr>
      </w:pPr>
    </w:p>
    <w:p w14:paraId="3EAF0BF2" w14:textId="77777777" w:rsidR="002E6F7F" w:rsidRPr="00E36560" w:rsidRDefault="002E6F7F" w:rsidP="00E36560">
      <w:pPr>
        <w:tabs>
          <w:tab w:val="left" w:pos="1224"/>
        </w:tabs>
        <w:spacing w:line="276" w:lineRule="auto"/>
        <w:jc w:val="both"/>
        <w:rPr>
          <w:rFonts w:ascii="Times New Roman" w:hAnsi="Times New Roman" w:cs="Times New Roman"/>
          <w:b/>
          <w:bCs/>
        </w:rPr>
      </w:pPr>
      <w:r w:rsidRPr="00E36560">
        <w:rPr>
          <w:rFonts w:ascii="Times New Roman" w:hAnsi="Times New Roman" w:cs="Times New Roman"/>
          <w:b/>
          <w:bCs/>
          <w:noProof/>
          <w:lang w:eastAsia="tr-TR"/>
        </w:rPr>
        <mc:AlternateContent>
          <mc:Choice Requires="wps">
            <w:drawing>
              <wp:anchor distT="0" distB="0" distL="114300" distR="114300" simplePos="0" relativeHeight="251659264" behindDoc="0" locked="0" layoutInCell="1" allowOverlap="1" wp14:anchorId="7E99C18F" wp14:editId="6BA37B31">
                <wp:simplePos x="0" y="0"/>
                <wp:positionH relativeFrom="column">
                  <wp:posOffset>-17145</wp:posOffset>
                </wp:positionH>
                <wp:positionV relativeFrom="paragraph">
                  <wp:posOffset>290195</wp:posOffset>
                </wp:positionV>
                <wp:extent cx="6896100" cy="0"/>
                <wp:effectExtent l="0" t="0" r="19050" b="19050"/>
                <wp:wrapNone/>
                <wp:docPr id="216" name="Düz Bağlayıcı 216"/>
                <wp:cNvGraphicFramePr/>
                <a:graphic xmlns:a="http://schemas.openxmlformats.org/drawingml/2006/main">
                  <a:graphicData uri="http://schemas.microsoft.com/office/word/2010/wordprocessingShape">
                    <wps:wsp>
                      <wps:cNvCnPr/>
                      <wps:spPr>
                        <a:xfrm>
                          <a:off x="0" y="0"/>
                          <a:ext cx="6896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A4E2F" id="Düz Bağlayıcı 2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2.85pt" to="541.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" strokecolor="windowText" strokeweight=".5pt">
                <v:stroke joinstyle="miter"/>
              </v:line>
            </w:pict>
          </mc:Fallback>
        </mc:AlternateContent>
      </w:r>
      <w:r w:rsidRPr="00E36560">
        <w:rPr>
          <w:rFonts w:ascii="Times New Roman" w:hAnsi="Times New Roman" w:cs="Times New Roman"/>
          <w:b/>
          <w:bCs/>
        </w:rPr>
        <w:t>TARAFLAR</w:t>
      </w:r>
    </w:p>
    <w:p w14:paraId="5C6A1C4D" w14:textId="0CA7220D" w:rsidR="00E36560" w:rsidRDefault="002E6F7F" w:rsidP="00E36560">
      <w:pPr>
        <w:tabs>
          <w:tab w:val="left" w:pos="1224"/>
        </w:tabs>
        <w:spacing w:line="276" w:lineRule="auto"/>
        <w:jc w:val="both"/>
        <w:rPr>
          <w:rFonts w:ascii="Times New Roman" w:hAnsi="Times New Roman" w:cs="Times New Roman"/>
          <w:b/>
        </w:rPr>
      </w:pPr>
      <w:r w:rsidRPr="00E36560">
        <w:rPr>
          <w:rFonts w:ascii="Times New Roman" w:hAnsi="Times New Roman" w:cs="Times New Roman"/>
          <w:b/>
          <w:bCs/>
        </w:rPr>
        <w:t>Şirket</w:t>
      </w:r>
      <w:r w:rsidRPr="00E36560">
        <w:rPr>
          <w:rFonts w:ascii="Times New Roman" w:hAnsi="Times New Roman" w:cs="Times New Roman"/>
        </w:rPr>
        <w:t xml:space="preserve">: </w:t>
      </w:r>
      <w:r w:rsidR="0016569C">
        <w:rPr>
          <w:rFonts w:ascii="Times New Roman" w:hAnsi="Times New Roman" w:cs="Times New Roman"/>
          <w:b/>
        </w:rPr>
        <w:t xml:space="preserve">NOKTA KIRTASİYE VE TEMİZLİK MALZEMELERİ GIDA SAN. VE TİC. LTD.ŞTİ. </w:t>
      </w:r>
    </w:p>
    <w:p w14:paraId="6DCCAA8F" w14:textId="50A010B2"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b/>
          <w:bCs/>
        </w:rPr>
        <w:t>Adres</w:t>
      </w:r>
      <w:r w:rsidR="0016569C">
        <w:rPr>
          <w:rFonts w:ascii="Times New Roman" w:hAnsi="Times New Roman" w:cs="Times New Roman"/>
        </w:rPr>
        <w:t>:</w:t>
      </w:r>
    </w:p>
    <w:p w14:paraId="5FB82210" w14:textId="77777777" w:rsidR="002E6F7F" w:rsidRPr="00E36560" w:rsidRDefault="002E6F7F" w:rsidP="00E36560">
      <w:pPr>
        <w:tabs>
          <w:tab w:val="left" w:pos="1224"/>
        </w:tabs>
        <w:spacing w:line="276" w:lineRule="auto"/>
        <w:jc w:val="both"/>
        <w:rPr>
          <w:rFonts w:ascii="Times New Roman" w:hAnsi="Times New Roman" w:cs="Times New Roman"/>
          <w:b/>
          <w:bCs/>
        </w:rPr>
      </w:pPr>
      <w:r w:rsidRPr="00E36560">
        <w:rPr>
          <w:rFonts w:ascii="Times New Roman" w:hAnsi="Times New Roman" w:cs="Times New Roman"/>
          <w:b/>
          <w:bCs/>
        </w:rPr>
        <w:t>Tedarikçi Şirket:</w:t>
      </w:r>
    </w:p>
    <w:p w14:paraId="35FFB23B"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b/>
          <w:bCs/>
        </w:rPr>
        <w:t>Adres</w:t>
      </w:r>
      <w:r w:rsidRPr="00E36560">
        <w:rPr>
          <w:rFonts w:ascii="Times New Roman" w:hAnsi="Times New Roman" w:cs="Times New Roman"/>
        </w:rPr>
        <w:t>:</w:t>
      </w:r>
    </w:p>
    <w:p w14:paraId="2D6542EC"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 xml:space="preserve">İşbu Tedarikçi Kişisel Verileri Korunması ve Gizlilik Taahhütnamesi </w:t>
      </w:r>
      <w:r w:rsidRPr="00E36560">
        <w:rPr>
          <w:rFonts w:ascii="Times New Roman" w:hAnsi="Times New Roman" w:cs="Times New Roman"/>
          <w:b/>
          <w:bCs/>
        </w:rPr>
        <w:t xml:space="preserve">(“Taahhütname”), </w:t>
      </w:r>
      <w:r w:rsidRPr="00E36560">
        <w:rPr>
          <w:rFonts w:ascii="Times New Roman" w:hAnsi="Times New Roman" w:cs="Times New Roman"/>
        </w:rPr>
        <w:t xml:space="preserve">yukarıda bilgileri verilen Şirket ve Tedarikçi Şirket </w:t>
      </w:r>
      <w:r w:rsidRPr="00E36560">
        <w:rPr>
          <w:rFonts w:ascii="Times New Roman" w:hAnsi="Times New Roman" w:cs="Times New Roman"/>
          <w:b/>
          <w:bCs/>
        </w:rPr>
        <w:t xml:space="preserve">(“Firma”) </w:t>
      </w:r>
      <w:r w:rsidRPr="00E36560">
        <w:rPr>
          <w:rFonts w:ascii="Times New Roman" w:hAnsi="Times New Roman" w:cs="Times New Roman"/>
        </w:rPr>
        <w:t>arasında yapılmıştır. Aksi yazılı olarak bildirilmedikçe yukarıda yazılı adresler kanuni tebligat adresleridir.</w:t>
      </w:r>
    </w:p>
    <w:p w14:paraId="20C52822"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 xml:space="preserve">İşbu Taahhütname, Firma’nın Şirket’e ait 6698 sayılı Kişisel Verileri Koruma Kanunu </w:t>
      </w:r>
      <w:r w:rsidRPr="00E36560">
        <w:rPr>
          <w:rFonts w:ascii="Times New Roman" w:hAnsi="Times New Roman" w:cs="Times New Roman"/>
          <w:b/>
          <w:bCs/>
        </w:rPr>
        <w:t xml:space="preserve">(“Kanun”) </w:t>
      </w:r>
      <w:r w:rsidRPr="00E36560">
        <w:rPr>
          <w:rFonts w:ascii="Times New Roman" w:hAnsi="Times New Roman" w:cs="Times New Roman"/>
        </w:rPr>
        <w:t>kapsamında, her türlü veri kaynağından elde ettiği kişisel verileri ve diğer gizli bilgileri tanımlamak, bilgilendirmek, kişisel veri ve gizli bilgilerin korunmasına yönelik alması gereken önlemleri ve ifşa durumunda müeyyideleri belirlemek amacıyla gerçekleştirilmiştir.</w:t>
      </w:r>
    </w:p>
    <w:p w14:paraId="46A1765F" w14:textId="77777777" w:rsidR="002E6F7F" w:rsidRPr="00E36560" w:rsidRDefault="002E6F7F" w:rsidP="00E36560">
      <w:pPr>
        <w:tabs>
          <w:tab w:val="left" w:pos="1224"/>
        </w:tabs>
        <w:spacing w:line="276" w:lineRule="auto"/>
        <w:jc w:val="both"/>
        <w:rPr>
          <w:rFonts w:ascii="Times New Roman" w:hAnsi="Times New Roman" w:cs="Times New Roman"/>
          <w:b/>
          <w:bCs/>
        </w:rPr>
      </w:pPr>
      <w:r w:rsidRPr="00E36560">
        <w:rPr>
          <w:rFonts w:ascii="Times New Roman" w:hAnsi="Times New Roman" w:cs="Times New Roman"/>
          <w:b/>
          <w:bCs/>
        </w:rPr>
        <w:t>1. Konusu</w:t>
      </w:r>
    </w:p>
    <w:p w14:paraId="3B46E212"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 xml:space="preserve">Taahhütname’ nin konusu, taraflar arasında tesis edilen gizlilik ilkesi kapsamında, 6698 sayılı Kanunda öngörülen yazılı veya sözlü, görsel, manyetik veya herhangi başka bir ortamda bulunan Şirket’e ait </w:t>
      </w:r>
      <w:r w:rsidRPr="00E36560">
        <w:rPr>
          <w:rFonts w:ascii="Times New Roman" w:hAnsi="Times New Roman" w:cs="Times New Roman"/>
          <w:b/>
          <w:bCs/>
        </w:rPr>
        <w:t xml:space="preserve">“kişisel veri”, “özel nitelikli kişisel veri” </w:t>
      </w:r>
      <w:r w:rsidRPr="00E36560">
        <w:rPr>
          <w:rFonts w:ascii="Times New Roman" w:hAnsi="Times New Roman" w:cs="Times New Roman"/>
        </w:rPr>
        <w:t xml:space="preserve">ile </w:t>
      </w:r>
      <w:r w:rsidRPr="00E36560">
        <w:rPr>
          <w:rFonts w:ascii="Times New Roman" w:hAnsi="Times New Roman" w:cs="Times New Roman"/>
          <w:b/>
          <w:bCs/>
        </w:rPr>
        <w:t xml:space="preserve">“gizli </w:t>
      </w:r>
      <w:r w:rsidRPr="00E36560">
        <w:rPr>
          <w:rFonts w:ascii="Times New Roman" w:hAnsi="Times New Roman" w:cs="Times New Roman"/>
        </w:rPr>
        <w:t>bilgilerin korunmasıdır. Koruma mükellefiyeti Firma’nın kendisi, işçileri, iş ortakları, müşterileri, tedarikçileri ya da çalışanları ile ifşa edilen üçüncü kişileri kapsar.</w:t>
      </w:r>
    </w:p>
    <w:p w14:paraId="295B91ED" w14:textId="77777777" w:rsidR="002E6F7F" w:rsidRPr="00E36560" w:rsidRDefault="002E6F7F" w:rsidP="00E36560">
      <w:pPr>
        <w:tabs>
          <w:tab w:val="left" w:pos="1224"/>
        </w:tabs>
        <w:spacing w:line="276" w:lineRule="auto"/>
        <w:jc w:val="both"/>
        <w:rPr>
          <w:rFonts w:ascii="Times New Roman" w:hAnsi="Times New Roman" w:cs="Times New Roman"/>
          <w:b/>
          <w:bCs/>
        </w:rPr>
      </w:pPr>
      <w:r w:rsidRPr="00E36560">
        <w:rPr>
          <w:rFonts w:ascii="Times New Roman" w:hAnsi="Times New Roman" w:cs="Times New Roman"/>
          <w:b/>
          <w:bCs/>
        </w:rPr>
        <w:t>2. Kişisel Veri ve Gizli Bilgi’nin Korunması</w:t>
      </w:r>
    </w:p>
    <w:p w14:paraId="38F9EC38"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Firma Şirket’in kişisel veri sahiplerine ait elde ettiği kişisel verileri (Adı soyadı, T.C. kimlik numarası, geçici T.C. kimlik numarası, tabiiyeti, ülke, şehir, pasaport numarası, verildiği yer ve tarihi, medeni hal, cinsiyeti, oto plaka numarası, şirket, mesleği, adres, e posta adresi, telefon numarası, beraberindeki eş ve çocukların adı-soyadı, doğum tarihi, yakınlık derecesi, ödeme bilgileri, araç plaka numarası, oda bilgileri, giriş çıkış kayıt bilgilerini kayıt işlemleri; aktivite resim ve bilgileri, talep veya şikâyet verileri, web site verileri, işlem güvenliği bilgileri, kamera kayıtları vd.) 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tedbiri almakla yükümlüdür. Firma, kişisel verilerin kendi adına başka bir gerçek veya tüzel kişi tarafından işlenmesi hâlinde, belirtilen tedbirlerin alınması hususunda bu kişilerle birlikte müştereken sorumludur. Firma ve yetkisi altında faaliyet gösteren kişiler, kişisel verileri ancak ve sadece Şirket’in ileteceği isteklere uygun olarak işlemekle yükümlüdür. Firma, sözleşmeye konu kişisel verileri, bir alt işverene aktarması gereken hallerde, veri aktaranı ispat edilebilir şekilde bilgilendirmeli ve onayını almalıdır. Firma alt işveren ile yapacağı sözleşmenin, asgari olarak Şirket ile Firma arasındaki sözleşme ve bu taahhütnamedeki hükümleri içermesi şattır.</w:t>
      </w:r>
    </w:p>
    <w:p w14:paraId="66E7DFE2"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Firma; kişisel verileri 6698 sayılı Kanuna ve Şirket ile arasındaki sözleşmeye uygun olarak işler, herhangi bir sebeple Kanuna ve sözleşmeye uygunluk sağlanamazsa, veri aktaranı konu ile ilgili derhal bilgilendirir. Bu durumda Şirket’in Firma’ ya kişisel veri aktarımını askıya alma ve sözleşmeyi feshetme hakkına sahip olacağını kabul eder.</w:t>
      </w:r>
    </w:p>
    <w:p w14:paraId="224F8CE6" w14:textId="77777777" w:rsidR="00AB3440" w:rsidRDefault="00AB3440" w:rsidP="00E36560">
      <w:pPr>
        <w:tabs>
          <w:tab w:val="left" w:pos="1224"/>
        </w:tabs>
        <w:spacing w:line="276" w:lineRule="auto"/>
        <w:jc w:val="both"/>
        <w:rPr>
          <w:rFonts w:ascii="Times New Roman" w:hAnsi="Times New Roman" w:cs="Times New Roman"/>
          <w:b/>
          <w:bCs/>
        </w:rPr>
      </w:pPr>
    </w:p>
    <w:p w14:paraId="6884BC23" w14:textId="4354ABCC" w:rsidR="002E6F7F" w:rsidRPr="00E36560" w:rsidRDefault="002E6F7F" w:rsidP="00E36560">
      <w:pPr>
        <w:tabs>
          <w:tab w:val="left" w:pos="1224"/>
        </w:tabs>
        <w:spacing w:line="276" w:lineRule="auto"/>
        <w:jc w:val="both"/>
        <w:rPr>
          <w:rFonts w:ascii="Times New Roman" w:hAnsi="Times New Roman" w:cs="Times New Roman"/>
          <w:b/>
          <w:bCs/>
        </w:rPr>
      </w:pPr>
      <w:r w:rsidRPr="00E36560">
        <w:rPr>
          <w:rFonts w:ascii="Times New Roman" w:hAnsi="Times New Roman" w:cs="Times New Roman"/>
          <w:b/>
          <w:bCs/>
        </w:rPr>
        <w:lastRenderedPageBreak/>
        <w:t>3. Kişisel Veri ve Gizli Bilgi Tanımına Girmeyen Bilgiler</w:t>
      </w:r>
    </w:p>
    <w:p w14:paraId="47327F27"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Firma’nın gizli tutma yükümlülüğü olmadığı döneme ait, önceden edinilen bilgiler; Firma’nın kusuru söz konusu olmaksızın kamuya mal olmuş bilgiler; Yasal düzenlemeler, verilmiş mahkeme kararı, idari karar gereğince açıklanması gereken bilgiler; Kişisel verilerden Kanun kapsamı dışında tutman bilgiler gizlilik yükümlülüğü dışındadır.</w:t>
      </w:r>
    </w:p>
    <w:p w14:paraId="7744DF58" w14:textId="77777777" w:rsidR="002E6F7F" w:rsidRPr="00E36560" w:rsidRDefault="002E6F7F" w:rsidP="00E36560">
      <w:pPr>
        <w:tabs>
          <w:tab w:val="left" w:pos="1224"/>
        </w:tabs>
        <w:spacing w:line="276" w:lineRule="auto"/>
        <w:jc w:val="both"/>
        <w:rPr>
          <w:rFonts w:ascii="Times New Roman" w:hAnsi="Times New Roman" w:cs="Times New Roman"/>
        </w:rPr>
      </w:pPr>
    </w:p>
    <w:p w14:paraId="28392D8E"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Firma; aktarılan kişisel verilere ilişkin olarak adli bir makamdan gelen talepleri, derhal Şirket’e bildirir. Bu durumda veri aktaranın talebin niteliğine göre sözleşmeyi askıya alma veya feshetme hakkına sahip olacağını kabul eder.</w:t>
      </w:r>
    </w:p>
    <w:p w14:paraId="34955A5B"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Şirket’e ait gizli bilgilere ait haklar Şirket’in mülkiyetindedir, bu bilginin ifşa edilmesi, ifşa eden tarafa herhangi bir hak vermez. Firma, Şirket’in gizli bilgisinin değerli ticari sırları içerdiğini ve Şirket’in ticari sırlarını vermek gibi bir yükümlülüğü olmadığını kabul eder. Şirket gizli bilgisinin tamlığı, doğruluğu, kesinliği hakkında bir garanti veremez.</w:t>
      </w:r>
    </w:p>
    <w:p w14:paraId="60B8309F" w14:textId="77777777" w:rsidR="002E6F7F" w:rsidRPr="00E36560" w:rsidRDefault="002E6F7F" w:rsidP="00E36560">
      <w:pPr>
        <w:tabs>
          <w:tab w:val="left" w:pos="1224"/>
        </w:tabs>
        <w:spacing w:line="276" w:lineRule="auto"/>
        <w:jc w:val="both"/>
        <w:rPr>
          <w:rFonts w:ascii="Times New Roman" w:hAnsi="Times New Roman" w:cs="Times New Roman"/>
          <w:b/>
          <w:bCs/>
        </w:rPr>
      </w:pPr>
      <w:r w:rsidRPr="00E36560">
        <w:rPr>
          <w:rFonts w:ascii="Times New Roman" w:hAnsi="Times New Roman" w:cs="Times New Roman"/>
          <w:b/>
          <w:bCs/>
        </w:rPr>
        <w:t>4. Önlemler</w:t>
      </w:r>
    </w:p>
    <w:p w14:paraId="152E1C41"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Firma, sözleşme kapsamında Şirket’ten gelen soruları mümkün olan en kısa sürede usulüne uygun olarak cevaplandırır ve aktarıma konu kişisel verilerin işlenmesi hususunda Kişisel Verileri Koruma Kurulu karar ve görüşlerine uyar.        Firma, veri aktaranın, taahhüt ve yükümlülüklerin yerine getirilip getirilmediğine yönelik Şirket’in denetim yapma ve yaptırma yetkisine sahip olduğunu kabul eder ve bu yönde gerekli kolaylığı sağlar.</w:t>
      </w:r>
    </w:p>
    <w:p w14:paraId="24FEB0F2"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Eğer Firma, Şirket’in kişisel veri ve gizli bilgisini yetkisiz ifşa ettiğini öğrenirse Şirket’e derhal ve yazılı olarak bilgi verir. Bu sebeple oluşabilecek zararları azaltmak için tüm çabayı gösterir. Firma, Şirket’in bu sebeple maruz kaldığı tüm zarar ve ziyanı karşılamaya peşinen kabul ve taahhüt eder. Firma, işbu Taahhütname’ ye aykırı davranışlar için en az … TL para cezası ödemeyi ve Şirket tarafından hesaplanacak olan diğer zararın tazminini de ayrıca ödemeyi taahhüt eder.</w:t>
      </w:r>
    </w:p>
    <w:p w14:paraId="59D70AC1" w14:textId="77777777" w:rsidR="002E6F7F" w:rsidRPr="00E36560" w:rsidRDefault="002E6F7F" w:rsidP="00E36560">
      <w:pPr>
        <w:tabs>
          <w:tab w:val="left" w:pos="1224"/>
        </w:tabs>
        <w:spacing w:line="276" w:lineRule="auto"/>
        <w:jc w:val="both"/>
        <w:rPr>
          <w:rFonts w:ascii="Times New Roman" w:hAnsi="Times New Roman" w:cs="Times New Roman"/>
          <w:b/>
          <w:bCs/>
        </w:rPr>
      </w:pPr>
      <w:r w:rsidRPr="00E36560">
        <w:rPr>
          <w:rFonts w:ascii="Times New Roman" w:hAnsi="Times New Roman" w:cs="Times New Roman"/>
          <w:b/>
          <w:bCs/>
        </w:rPr>
        <w:t>5. Gizli Bilginin İadesi</w:t>
      </w:r>
    </w:p>
    <w:p w14:paraId="29C47BF6"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Tüm kişisel veri ve gizli bilgiler ticari ilişkinin ya da Taahhütname’ nin sona ermesi halinde, aktarıma konu kişisel verileri yedekleri ile birlikte Şirket’e geri göndereceğini ya da kişisel verileri tamamen yok edeceğini, mevzuatta veri alıcısının bu yükümlülüğü yerine getirmesini engelleyen hükümler varsa, aktarıma konu kişisel verilerin gizliliğini güvence altına almak için gerekli idari ve teknik tedbirleri alacağını ve veri işleme faaliyetini durduracağım kabul eder. Taraflar arasında bu hususta ileride doğacak iş ilişkileri müzakere edilip uygulanacak ayrı bir Taahhütnamenin konusunu oluşturur. İade edilen her türlü bilginin, kopyalandığı, çoğaltıldığının tespiti durumunda 5. maddede belirtilen cezai müeyyide uygulanır.</w:t>
      </w:r>
    </w:p>
    <w:p w14:paraId="71D44AC8" w14:textId="77777777" w:rsidR="002E6F7F" w:rsidRPr="00E36560" w:rsidRDefault="002E6F7F" w:rsidP="00E36560">
      <w:pPr>
        <w:tabs>
          <w:tab w:val="left" w:pos="1224"/>
        </w:tabs>
        <w:spacing w:line="276" w:lineRule="auto"/>
        <w:jc w:val="both"/>
        <w:rPr>
          <w:rFonts w:ascii="Times New Roman" w:hAnsi="Times New Roman" w:cs="Times New Roman"/>
          <w:b/>
          <w:bCs/>
        </w:rPr>
      </w:pPr>
      <w:r w:rsidRPr="00E36560">
        <w:rPr>
          <w:rFonts w:ascii="Times New Roman" w:hAnsi="Times New Roman" w:cs="Times New Roman"/>
          <w:b/>
          <w:bCs/>
        </w:rPr>
        <w:t>6. İfşaya İzin Verilmesi</w:t>
      </w:r>
    </w:p>
    <w:p w14:paraId="7845C042"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Firma, Kanunda açıkça belirtilen haller dışında kişisel veri ve gizli bilgiyi herhangi bir şekilde ya da herhangi bir yolla dağıtamaz, basın yayın organları ve medya kuruluşları vasıtasıyla açıklayamaz, reklam amacıyla kullanamaz ve ifşa edemez, görsel ya da yazılı medya aracılığıyla referans olarak gösteremez. Gizlilik yükümlülüklerinin tek istisnası 3. madde ile tespit edilen haller ile karşı tarafın yazılı izni olmasıdır.</w:t>
      </w:r>
    </w:p>
    <w:p w14:paraId="26ED8982" w14:textId="77777777" w:rsidR="002E6F7F" w:rsidRPr="00E36560" w:rsidRDefault="002E6F7F" w:rsidP="00E36560">
      <w:pPr>
        <w:tabs>
          <w:tab w:val="left" w:pos="1224"/>
        </w:tabs>
        <w:spacing w:line="276" w:lineRule="auto"/>
        <w:jc w:val="both"/>
        <w:rPr>
          <w:rFonts w:ascii="Times New Roman" w:hAnsi="Times New Roman" w:cs="Times New Roman"/>
          <w:b/>
          <w:bCs/>
        </w:rPr>
      </w:pPr>
      <w:r w:rsidRPr="00E36560">
        <w:rPr>
          <w:rFonts w:ascii="Times New Roman" w:hAnsi="Times New Roman" w:cs="Times New Roman"/>
          <w:b/>
          <w:bCs/>
        </w:rPr>
        <w:t>7. Diğer Konular</w:t>
      </w:r>
    </w:p>
    <w:p w14:paraId="01C0F880"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 xml:space="preserve">İki orijinal nüsha olarak düzenlenen bu Taahhütname’ nin damga vergisinden, taraflar kendi nüshasından sorumludur. Taahhütname maddelerinden herhangi bir veya birkaç maddesi geçersiz sayılır ya da iptal edilir veya uygulanmazsa, bu durum diğer maddelerinin geçerliğine etkilemez.                                                                                                                          </w:t>
      </w:r>
    </w:p>
    <w:p w14:paraId="630A09C9"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İşbu Taahhütname sebebiyle çıkacak tüm uyuşmazlıklarda İstanbul mahkemeleri ve icra daireleri yetkilidir. Taraflar, aralarında ki tüm bildirimleri yazılı yapar. Taahhütname taraflar ve halefleri için bağlayıcıdır.</w:t>
      </w:r>
    </w:p>
    <w:p w14:paraId="13264236" w14:textId="706263AD"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lastRenderedPageBreak/>
        <w:t>Bu Taahhütname ya da buradaki herhangi bir hak tamamen ya da kısmen devir konusu olamaz.                                       İşbu Taahhütname</w:t>
      </w:r>
      <w:r w:rsidR="00AB3440" w:rsidRPr="00E36560">
        <w:rPr>
          <w:rFonts w:ascii="Times New Roman" w:hAnsi="Times New Roman" w:cs="Times New Roman"/>
        </w:rPr>
        <w:t xml:space="preserve"> …</w:t>
      </w:r>
      <w:r w:rsidRPr="00E36560">
        <w:rPr>
          <w:rFonts w:ascii="Times New Roman" w:hAnsi="Times New Roman" w:cs="Times New Roman"/>
        </w:rPr>
        <w:t>/.../...... tarihinde imzalanmış olup, tarafların gizlilik ve kişisel verilerin korunma yükümlülükleri, aralarındaki iş ilişkisi süresince, bu ilişkinin herhangi bir nedenle sona ermesi halinde herhangi bir süre ile sınırlı kalmadan, yürürlükte kalır.</w:t>
      </w:r>
    </w:p>
    <w:p w14:paraId="3DC6C219" w14:textId="77777777" w:rsidR="002E6F7F" w:rsidRPr="00E36560" w:rsidRDefault="002E6F7F" w:rsidP="00E36560">
      <w:pPr>
        <w:tabs>
          <w:tab w:val="left" w:pos="1224"/>
        </w:tabs>
        <w:spacing w:line="276" w:lineRule="auto"/>
        <w:jc w:val="both"/>
        <w:rPr>
          <w:rFonts w:ascii="Times New Roman" w:hAnsi="Times New Roman" w:cs="Times New Roman"/>
          <w:b/>
          <w:bCs/>
        </w:rPr>
      </w:pPr>
      <w:r w:rsidRPr="00E36560">
        <w:rPr>
          <w:rFonts w:ascii="Times New Roman" w:hAnsi="Times New Roman" w:cs="Times New Roman"/>
          <w:b/>
          <w:bCs/>
        </w:rPr>
        <w:t>Firma adına:                                                                        Şirket adına:</w:t>
      </w:r>
    </w:p>
    <w:p w14:paraId="0D110091"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Adı Soyadı:                                                                           Adı Soyadı:</w:t>
      </w:r>
    </w:p>
    <w:p w14:paraId="604F7917"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Açık Adres:                                                                           Açık Adres:</w:t>
      </w:r>
    </w:p>
    <w:p w14:paraId="63E54CF5"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İrtibat Numarası:                                                                 İrtibat Numarası:</w:t>
      </w:r>
    </w:p>
    <w:p w14:paraId="6EC63887" w14:textId="77777777" w:rsidR="002E6F7F"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E-posta:                                                                                 E-posta:</w:t>
      </w:r>
    </w:p>
    <w:p w14:paraId="457397F7" w14:textId="77777777" w:rsidR="007227D6" w:rsidRPr="00E36560" w:rsidRDefault="002E6F7F" w:rsidP="00E36560">
      <w:pPr>
        <w:tabs>
          <w:tab w:val="left" w:pos="1224"/>
        </w:tabs>
        <w:spacing w:line="276" w:lineRule="auto"/>
        <w:jc w:val="both"/>
        <w:rPr>
          <w:rFonts w:ascii="Times New Roman" w:hAnsi="Times New Roman" w:cs="Times New Roman"/>
        </w:rPr>
      </w:pPr>
      <w:r w:rsidRPr="00E36560">
        <w:rPr>
          <w:rFonts w:ascii="Times New Roman" w:hAnsi="Times New Roman" w:cs="Times New Roman"/>
        </w:rPr>
        <w:t xml:space="preserve">İmza/Kaşe                                                       </w:t>
      </w:r>
      <w:r w:rsidR="00E36560">
        <w:rPr>
          <w:rFonts w:ascii="Times New Roman" w:hAnsi="Times New Roman" w:cs="Times New Roman"/>
        </w:rPr>
        <w:t xml:space="preserve">                      İmza/Kaşe</w:t>
      </w:r>
    </w:p>
    <w:sectPr w:rsidR="007227D6" w:rsidRPr="00E36560" w:rsidSect="00AB3440">
      <w:pgSz w:w="11906" w:h="16838"/>
      <w:pgMar w:top="992" w:right="992" w:bottom="992"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B4C"/>
    <w:rsid w:val="0016569C"/>
    <w:rsid w:val="002E6F7F"/>
    <w:rsid w:val="00593B4C"/>
    <w:rsid w:val="007227D6"/>
    <w:rsid w:val="00AB3440"/>
    <w:rsid w:val="00E36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3E99"/>
  <w15:docId w15:val="{441B04E6-6BD6-4018-9915-1B707790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KADIRCAN Bozyel</dc:creator>
  <cp:keywords/>
  <dc:description/>
  <cp:lastModifiedBy>KADIRCAN Bozyel</cp:lastModifiedBy>
  <cp:revision>7</cp:revision>
  <dcterms:created xsi:type="dcterms:W3CDTF">2020-10-11T23:28:00Z</dcterms:created>
  <dcterms:modified xsi:type="dcterms:W3CDTF">2020-11-28T16:04:00Z</dcterms:modified>
</cp:coreProperties>
</file>